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6F" w:rsidRPr="0096406F" w:rsidRDefault="004C72D2" w:rsidP="0096406F">
      <w:pPr>
        <w:spacing w:line="360" w:lineRule="auto"/>
        <w:jc w:val="both"/>
        <w:rPr>
          <w:rFonts w:cs="Arial"/>
          <w:b/>
          <w:color w:val="auto"/>
          <w:sz w:val="20"/>
          <w:szCs w:val="20"/>
        </w:rPr>
      </w:pPr>
      <w:r>
        <w:rPr>
          <w:rFonts w:cs="Arial"/>
          <w:b/>
          <w:color w:val="auto"/>
          <w:sz w:val="20"/>
          <w:szCs w:val="20"/>
        </w:rPr>
        <w:t>ANEXOS</w:t>
      </w:r>
    </w:p>
    <w:p w:rsidR="00D313FD" w:rsidRPr="004C72D2" w:rsidRDefault="00D313FD" w:rsidP="00D313FD">
      <w:pPr>
        <w:pStyle w:val="PargrafodaLista"/>
        <w:numPr>
          <w:ilvl w:val="0"/>
          <w:numId w:val="1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Carta de Anuência (</w:t>
      </w:r>
      <w:r w:rsidRPr="004C72D2">
        <w:rPr>
          <w:rFonts w:cs="Arial"/>
          <w:b/>
          <w:color w:val="auto"/>
          <w:sz w:val="20"/>
          <w:szCs w:val="20"/>
        </w:rPr>
        <w:t>EIA – Anexo 1.1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D313FD" w:rsidRPr="004C72D2" w:rsidRDefault="00D313FD" w:rsidP="00D313FD">
      <w:pPr>
        <w:pStyle w:val="PargrafodaLista"/>
        <w:numPr>
          <w:ilvl w:val="0"/>
          <w:numId w:val="1"/>
        </w:numPr>
        <w:tabs>
          <w:tab w:val="left" w:pos="2175"/>
        </w:tabs>
        <w:spacing w:line="360" w:lineRule="auto"/>
        <w:jc w:val="both"/>
        <w:rPr>
          <w:color w:val="auto"/>
          <w:sz w:val="20"/>
          <w:szCs w:val="22"/>
        </w:rPr>
      </w:pPr>
      <w:r w:rsidRPr="004C72D2">
        <w:rPr>
          <w:color w:val="auto"/>
          <w:sz w:val="20"/>
          <w:szCs w:val="22"/>
        </w:rPr>
        <w:t xml:space="preserve">Projeto de engenharia </w:t>
      </w:r>
      <w:r w:rsidRPr="004C72D2">
        <w:rPr>
          <w:rFonts w:cs="Arial"/>
          <w:color w:val="auto"/>
          <w:sz w:val="20"/>
          <w:szCs w:val="20"/>
        </w:rPr>
        <w:t>(</w:t>
      </w:r>
      <w:r w:rsidRPr="004C72D2">
        <w:rPr>
          <w:rFonts w:cs="Arial"/>
          <w:b/>
          <w:color w:val="auto"/>
          <w:sz w:val="20"/>
          <w:szCs w:val="20"/>
        </w:rPr>
        <w:t>EIA – Anexo 1.2</w:t>
      </w:r>
      <w:r w:rsidRPr="004C72D2">
        <w:rPr>
          <w:rFonts w:cs="Arial"/>
          <w:color w:val="auto"/>
          <w:sz w:val="20"/>
          <w:szCs w:val="20"/>
        </w:rPr>
        <w:t>)</w:t>
      </w:r>
      <w:r w:rsidRPr="004C72D2">
        <w:rPr>
          <w:color w:val="auto"/>
          <w:sz w:val="20"/>
          <w:szCs w:val="22"/>
        </w:rPr>
        <w:t xml:space="preserve">; </w:t>
      </w:r>
    </w:p>
    <w:p w:rsidR="00D313FD" w:rsidRPr="004C72D2" w:rsidRDefault="00D313FD" w:rsidP="00D313F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auto"/>
          <w:sz w:val="20"/>
          <w:szCs w:val="22"/>
        </w:rPr>
      </w:pPr>
      <w:r w:rsidRPr="004C72D2">
        <w:rPr>
          <w:rFonts w:cs="Arial"/>
          <w:color w:val="auto"/>
          <w:sz w:val="20"/>
          <w:szCs w:val="20"/>
        </w:rPr>
        <w:t>Arranjo</w:t>
      </w:r>
      <w:r w:rsidR="00E3728E" w:rsidRPr="004C72D2">
        <w:rPr>
          <w:rFonts w:cs="Arial"/>
          <w:color w:val="auto"/>
          <w:sz w:val="20"/>
          <w:szCs w:val="20"/>
        </w:rPr>
        <w:t xml:space="preserve"> </w:t>
      </w:r>
      <w:proofErr w:type="gramStart"/>
      <w:r w:rsidR="00E3728E" w:rsidRPr="004C72D2">
        <w:rPr>
          <w:rFonts w:cs="Arial"/>
          <w:color w:val="auto"/>
          <w:sz w:val="20"/>
          <w:szCs w:val="20"/>
        </w:rPr>
        <w:t>Elétrico</w:t>
      </w:r>
      <w:r w:rsidRPr="004C72D2">
        <w:rPr>
          <w:rFonts w:cs="Arial"/>
          <w:color w:val="auto"/>
          <w:sz w:val="20"/>
          <w:szCs w:val="20"/>
        </w:rPr>
        <w:t xml:space="preserve"> do Complexo FAMOSA</w:t>
      </w:r>
      <w:proofErr w:type="gramEnd"/>
      <w:r w:rsidRPr="004C72D2">
        <w:rPr>
          <w:rFonts w:cs="Arial"/>
          <w:color w:val="auto"/>
          <w:sz w:val="20"/>
          <w:szCs w:val="20"/>
        </w:rPr>
        <w:t xml:space="preserve"> (</w:t>
      </w:r>
      <w:r w:rsidRPr="004C72D2">
        <w:rPr>
          <w:rFonts w:cs="Arial"/>
          <w:b/>
          <w:color w:val="auto"/>
          <w:sz w:val="20"/>
          <w:szCs w:val="20"/>
        </w:rPr>
        <w:t>EIA – Anexo 1.3</w:t>
      </w:r>
      <w:r w:rsidRPr="004C72D2">
        <w:rPr>
          <w:rFonts w:cs="Arial"/>
          <w:color w:val="auto"/>
          <w:sz w:val="20"/>
          <w:szCs w:val="20"/>
        </w:rPr>
        <w:t>)</w:t>
      </w:r>
      <w:r w:rsidRPr="004C72D2">
        <w:rPr>
          <w:color w:val="auto"/>
          <w:sz w:val="20"/>
          <w:szCs w:val="22"/>
        </w:rPr>
        <w:t>;</w:t>
      </w:r>
    </w:p>
    <w:p w:rsidR="00D313FD" w:rsidRPr="004C72D2" w:rsidRDefault="00D313FD" w:rsidP="00D313FD">
      <w:pPr>
        <w:pStyle w:val="PargrafodaLista"/>
        <w:numPr>
          <w:ilvl w:val="0"/>
          <w:numId w:val="1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proofErr w:type="spellStart"/>
      <w:r w:rsidRPr="004C72D2">
        <w:rPr>
          <w:rFonts w:cs="Arial"/>
          <w:i/>
          <w:color w:val="auto"/>
          <w:sz w:val="20"/>
          <w:szCs w:val="20"/>
        </w:rPr>
        <w:t>Lay-out</w:t>
      </w:r>
      <w:proofErr w:type="spellEnd"/>
      <w:r w:rsidRPr="004C72D2">
        <w:rPr>
          <w:rFonts w:cs="Arial"/>
          <w:i/>
          <w:color w:val="auto"/>
          <w:sz w:val="20"/>
          <w:szCs w:val="20"/>
        </w:rPr>
        <w:t xml:space="preserve"> </w:t>
      </w:r>
      <w:r w:rsidRPr="004C72D2">
        <w:rPr>
          <w:rFonts w:cs="Arial"/>
          <w:color w:val="auto"/>
          <w:sz w:val="20"/>
          <w:szCs w:val="20"/>
        </w:rPr>
        <w:t>do canteiro de obras (</w:t>
      </w:r>
      <w:r w:rsidRPr="004C72D2">
        <w:rPr>
          <w:rFonts w:cs="Arial"/>
          <w:b/>
          <w:color w:val="auto"/>
          <w:sz w:val="20"/>
          <w:szCs w:val="20"/>
        </w:rPr>
        <w:t>EIA – Anexo 1.4</w:t>
      </w:r>
      <w:r w:rsidR="004C72D2">
        <w:rPr>
          <w:color w:val="auto"/>
          <w:sz w:val="20"/>
          <w:szCs w:val="20"/>
        </w:rPr>
        <w:t>)</w:t>
      </w:r>
      <w:r w:rsidRPr="004C72D2">
        <w:rPr>
          <w:color w:val="auto"/>
          <w:sz w:val="20"/>
          <w:szCs w:val="20"/>
        </w:rPr>
        <w:t>;</w:t>
      </w:r>
    </w:p>
    <w:p w:rsidR="00D313FD" w:rsidRPr="004C72D2" w:rsidRDefault="00D313FD" w:rsidP="00D313FD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color w:val="auto"/>
          <w:sz w:val="20"/>
          <w:szCs w:val="20"/>
        </w:rPr>
        <w:t xml:space="preserve">Levantamento </w:t>
      </w:r>
      <w:proofErr w:type="spellStart"/>
      <w:r w:rsidRPr="004C72D2">
        <w:rPr>
          <w:color w:val="auto"/>
          <w:sz w:val="20"/>
          <w:szCs w:val="20"/>
        </w:rPr>
        <w:t>planialtimétrico</w:t>
      </w:r>
      <w:proofErr w:type="spellEnd"/>
      <w:r w:rsidRPr="004C72D2">
        <w:rPr>
          <w:color w:val="auto"/>
          <w:sz w:val="20"/>
          <w:szCs w:val="20"/>
        </w:rPr>
        <w:t xml:space="preserve"> (</w:t>
      </w:r>
      <w:r w:rsidRPr="004C72D2">
        <w:rPr>
          <w:rFonts w:cs="Arial"/>
          <w:b/>
          <w:color w:val="auto"/>
          <w:sz w:val="20"/>
          <w:szCs w:val="20"/>
        </w:rPr>
        <w:t>EIA – Anexo 1.5</w:t>
      </w:r>
      <w:r w:rsidRPr="004C72D2">
        <w:rPr>
          <w:color w:val="auto"/>
          <w:sz w:val="20"/>
          <w:szCs w:val="20"/>
        </w:rPr>
        <w:t>);</w:t>
      </w:r>
    </w:p>
    <w:p w:rsidR="00E3728E" w:rsidRPr="0035133E" w:rsidRDefault="00A226F1" w:rsidP="00E3728E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Estudo de Sondagem</w:t>
      </w:r>
      <w:r w:rsidRPr="004C72D2">
        <w:rPr>
          <w:rFonts w:cs="Arial"/>
          <w:b/>
          <w:color w:val="auto"/>
          <w:sz w:val="20"/>
          <w:szCs w:val="20"/>
        </w:rPr>
        <w:t xml:space="preserve"> </w:t>
      </w:r>
      <w:r w:rsidRPr="004C72D2">
        <w:rPr>
          <w:rFonts w:cs="Arial"/>
          <w:color w:val="auto"/>
          <w:sz w:val="20"/>
          <w:szCs w:val="20"/>
        </w:rPr>
        <w:t>(</w:t>
      </w:r>
      <w:r w:rsidRPr="004C72D2">
        <w:rPr>
          <w:rFonts w:cs="Arial"/>
          <w:b/>
          <w:color w:val="auto"/>
          <w:sz w:val="20"/>
          <w:szCs w:val="20"/>
        </w:rPr>
        <w:t>EIA – Anexo 1.6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35133E" w:rsidRPr="004C72D2" w:rsidRDefault="0035133E" w:rsidP="00E3728E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 xml:space="preserve">Cronograma Físico – Financeiro </w:t>
      </w:r>
      <w:r w:rsidRPr="004C72D2">
        <w:rPr>
          <w:rFonts w:cs="Arial"/>
          <w:color w:val="auto"/>
          <w:sz w:val="20"/>
          <w:szCs w:val="20"/>
        </w:rPr>
        <w:t>(</w:t>
      </w:r>
      <w:r w:rsidRPr="004C72D2">
        <w:rPr>
          <w:rFonts w:cs="Arial"/>
          <w:b/>
          <w:color w:val="auto"/>
          <w:sz w:val="20"/>
          <w:szCs w:val="20"/>
        </w:rPr>
        <w:t xml:space="preserve">EIA – Anexo </w:t>
      </w:r>
      <w:r>
        <w:rPr>
          <w:rFonts w:cs="Arial"/>
          <w:b/>
          <w:color w:val="auto"/>
          <w:sz w:val="20"/>
          <w:szCs w:val="20"/>
        </w:rPr>
        <w:t>3.1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E3728E" w:rsidRPr="004C72D2" w:rsidRDefault="00E3728E" w:rsidP="00E3728E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eastAsia="MS Mincho" w:cs="Arial"/>
          <w:color w:val="auto"/>
          <w:sz w:val="20"/>
          <w:szCs w:val="20"/>
        </w:rPr>
        <w:t>Análise do ar (</w:t>
      </w:r>
      <w:r w:rsidRPr="004C72D2">
        <w:rPr>
          <w:rFonts w:cs="Arial"/>
          <w:b/>
          <w:color w:val="auto"/>
          <w:sz w:val="20"/>
          <w:szCs w:val="20"/>
        </w:rPr>
        <w:t>EIA – Anexo 6.1</w:t>
      </w:r>
      <w:r w:rsidRPr="004C72D2">
        <w:rPr>
          <w:rFonts w:eastAsia="MS Mincho" w:cs="Arial"/>
          <w:color w:val="auto"/>
          <w:sz w:val="20"/>
          <w:szCs w:val="20"/>
        </w:rPr>
        <w:t>)</w:t>
      </w:r>
      <w:r w:rsidRPr="004C72D2">
        <w:rPr>
          <w:rFonts w:cs="Arial"/>
          <w:color w:val="auto"/>
          <w:sz w:val="20"/>
          <w:szCs w:val="20"/>
        </w:rPr>
        <w:t>;</w:t>
      </w:r>
    </w:p>
    <w:p w:rsidR="00AE1EED" w:rsidRPr="004C72D2" w:rsidRDefault="00AE1EED" w:rsidP="00AE1EED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 xml:space="preserve">Análise de ruído </w:t>
      </w:r>
      <w:r w:rsidR="00E3728E" w:rsidRPr="004C72D2">
        <w:rPr>
          <w:rFonts w:cs="Arial"/>
          <w:color w:val="auto"/>
          <w:sz w:val="20"/>
          <w:szCs w:val="20"/>
        </w:rPr>
        <w:t>(</w:t>
      </w:r>
      <w:r w:rsidR="00E3728E" w:rsidRPr="004C72D2">
        <w:rPr>
          <w:rFonts w:cs="Arial"/>
          <w:b/>
          <w:color w:val="auto"/>
          <w:sz w:val="20"/>
          <w:szCs w:val="20"/>
        </w:rPr>
        <w:t>EIA – Anexo 6.2</w:t>
      </w:r>
      <w:r w:rsidR="004C72D2">
        <w:rPr>
          <w:rFonts w:cs="Arial"/>
          <w:color w:val="auto"/>
          <w:sz w:val="20"/>
          <w:szCs w:val="20"/>
        </w:rPr>
        <w:t>)</w:t>
      </w:r>
      <w:r w:rsidRPr="004C72D2">
        <w:rPr>
          <w:rFonts w:cs="Arial"/>
          <w:color w:val="auto"/>
          <w:sz w:val="20"/>
          <w:szCs w:val="20"/>
        </w:rPr>
        <w:t>;</w:t>
      </w:r>
    </w:p>
    <w:p w:rsidR="00AE1EED" w:rsidRPr="004C72D2" w:rsidRDefault="00AE1EED" w:rsidP="00AE1EED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Mapas de Pontos Notáveis do Meio Físico (</w:t>
      </w:r>
      <w:r w:rsidRPr="004C72D2">
        <w:rPr>
          <w:rFonts w:cs="Arial"/>
          <w:b/>
          <w:color w:val="auto"/>
          <w:sz w:val="20"/>
          <w:szCs w:val="20"/>
        </w:rPr>
        <w:t>EIA – Anexo 6.3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4D2CCA" w:rsidRPr="004C72D2" w:rsidRDefault="004D2CCA" w:rsidP="004D2CCA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 Geológico (formação da rocha) (</w:t>
      </w:r>
      <w:r w:rsidRPr="004C72D2">
        <w:rPr>
          <w:rFonts w:cs="Arial"/>
          <w:b/>
          <w:color w:val="auto"/>
          <w:sz w:val="20"/>
          <w:szCs w:val="20"/>
        </w:rPr>
        <w:t>EIA – Anexo 6.4</w:t>
      </w:r>
      <w:r w:rsidR="004C72D2">
        <w:rPr>
          <w:rFonts w:cs="Arial"/>
          <w:color w:val="auto"/>
          <w:sz w:val="20"/>
          <w:szCs w:val="20"/>
        </w:rPr>
        <w:t>)</w:t>
      </w:r>
      <w:r w:rsidRPr="004C72D2">
        <w:rPr>
          <w:rFonts w:cs="Arial"/>
          <w:color w:val="auto"/>
          <w:sz w:val="20"/>
          <w:szCs w:val="20"/>
        </w:rPr>
        <w:t>;</w:t>
      </w:r>
    </w:p>
    <w:p w:rsidR="004D2CCA" w:rsidRPr="004C72D2" w:rsidRDefault="004D2CCA" w:rsidP="004D2CCA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 Geo</w:t>
      </w:r>
      <w:r w:rsidR="001B152F" w:rsidRPr="004C72D2">
        <w:rPr>
          <w:rFonts w:cs="Arial"/>
          <w:color w:val="auto"/>
          <w:sz w:val="20"/>
          <w:szCs w:val="20"/>
        </w:rPr>
        <w:t>morfológico (formação do relevo</w:t>
      </w:r>
      <w:r w:rsidRPr="004C72D2">
        <w:rPr>
          <w:rFonts w:cs="Arial"/>
          <w:color w:val="auto"/>
          <w:sz w:val="20"/>
          <w:szCs w:val="20"/>
        </w:rPr>
        <w:t>) (</w:t>
      </w:r>
      <w:r w:rsidRPr="004C72D2">
        <w:rPr>
          <w:rFonts w:cs="Arial"/>
          <w:b/>
          <w:color w:val="auto"/>
          <w:sz w:val="20"/>
          <w:szCs w:val="20"/>
        </w:rPr>
        <w:t>EIA – Anexo 6.5</w:t>
      </w:r>
      <w:r w:rsidR="004C72D2">
        <w:rPr>
          <w:rFonts w:cs="Arial"/>
          <w:color w:val="auto"/>
          <w:sz w:val="20"/>
          <w:szCs w:val="20"/>
        </w:rPr>
        <w:t>)</w:t>
      </w:r>
      <w:r w:rsidRPr="004C72D2">
        <w:rPr>
          <w:rFonts w:cs="Arial"/>
          <w:color w:val="auto"/>
          <w:sz w:val="20"/>
          <w:szCs w:val="20"/>
        </w:rPr>
        <w:t>;</w:t>
      </w:r>
    </w:p>
    <w:p w:rsidR="001B152F" w:rsidRPr="004C72D2" w:rsidRDefault="001B152F" w:rsidP="001B152F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 de Pedologia (Solos) (</w:t>
      </w:r>
      <w:r w:rsidRPr="004C72D2">
        <w:rPr>
          <w:rFonts w:cs="Arial"/>
          <w:b/>
          <w:color w:val="auto"/>
          <w:sz w:val="20"/>
          <w:szCs w:val="20"/>
        </w:rPr>
        <w:t>EIA – Anexo 6.6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4B4ED2" w:rsidRPr="004C72D2" w:rsidRDefault="004B4ED2" w:rsidP="004B4ED2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 de Recursos Hídricos (</w:t>
      </w:r>
      <w:r w:rsidRPr="004C72D2">
        <w:rPr>
          <w:rFonts w:cs="Arial"/>
          <w:b/>
          <w:color w:val="auto"/>
          <w:sz w:val="20"/>
          <w:szCs w:val="20"/>
        </w:rPr>
        <w:t>EIA – Anexo 6.7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4B4ED2" w:rsidRPr="004C72D2" w:rsidRDefault="004B4ED2" w:rsidP="004B4ED2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Análise da Qualidade de água (</w:t>
      </w:r>
      <w:r w:rsidRPr="004C72D2">
        <w:rPr>
          <w:rFonts w:cs="Arial"/>
          <w:b/>
          <w:color w:val="auto"/>
          <w:sz w:val="20"/>
          <w:szCs w:val="20"/>
        </w:rPr>
        <w:t>EIA – Anexo 6.8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4B4ED2" w:rsidRPr="004C72D2" w:rsidRDefault="004B4ED2" w:rsidP="004B4ED2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 xml:space="preserve">Mapas de Pontos Notáveis do Meio </w:t>
      </w:r>
      <w:proofErr w:type="spellStart"/>
      <w:r w:rsidRPr="004C72D2">
        <w:rPr>
          <w:rFonts w:cs="Arial"/>
          <w:color w:val="auto"/>
          <w:sz w:val="20"/>
          <w:szCs w:val="20"/>
        </w:rPr>
        <w:t>Antrópico</w:t>
      </w:r>
      <w:proofErr w:type="spellEnd"/>
      <w:r w:rsidRPr="004C72D2">
        <w:rPr>
          <w:rFonts w:cs="Arial"/>
          <w:color w:val="auto"/>
          <w:sz w:val="20"/>
          <w:szCs w:val="20"/>
        </w:rPr>
        <w:t xml:space="preserve"> (</w:t>
      </w:r>
      <w:r w:rsidRPr="004C72D2">
        <w:rPr>
          <w:rFonts w:cs="Arial"/>
          <w:b/>
          <w:color w:val="auto"/>
          <w:sz w:val="20"/>
          <w:szCs w:val="20"/>
        </w:rPr>
        <w:t>EIA – Anexo 6.9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EC2E73" w:rsidRPr="004C72D2" w:rsidRDefault="00EC2E73" w:rsidP="00EC2E73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Laudo do IPHAN (</w:t>
      </w:r>
      <w:r w:rsidRPr="004C72D2">
        <w:rPr>
          <w:rFonts w:cs="Arial"/>
          <w:b/>
          <w:color w:val="auto"/>
          <w:sz w:val="20"/>
          <w:szCs w:val="20"/>
        </w:rPr>
        <w:t>EIA – Anexo 6.10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F44EC4" w:rsidRPr="004C72D2" w:rsidRDefault="00F44EC4" w:rsidP="00F44EC4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color w:val="auto"/>
          <w:sz w:val="20"/>
          <w:szCs w:val="20"/>
        </w:rPr>
        <w:t>Mapa</w:t>
      </w:r>
      <w:r w:rsidRPr="004C72D2">
        <w:rPr>
          <w:rFonts w:cs="Arial"/>
          <w:color w:val="auto"/>
          <w:sz w:val="20"/>
          <w:szCs w:val="20"/>
        </w:rPr>
        <w:t xml:space="preserve"> de Pontos Notáveis do</w:t>
      </w:r>
      <w:r w:rsidRPr="004C72D2">
        <w:rPr>
          <w:color w:val="auto"/>
          <w:sz w:val="20"/>
          <w:szCs w:val="20"/>
        </w:rPr>
        <w:t xml:space="preserve"> levantamento arqueológico </w:t>
      </w:r>
      <w:r w:rsidRPr="004C72D2">
        <w:rPr>
          <w:rFonts w:cs="Arial"/>
          <w:color w:val="auto"/>
          <w:sz w:val="20"/>
          <w:szCs w:val="20"/>
        </w:rPr>
        <w:t>(</w:t>
      </w:r>
      <w:r w:rsidRPr="004C72D2">
        <w:rPr>
          <w:rFonts w:cs="Arial"/>
          <w:b/>
          <w:color w:val="auto"/>
          <w:sz w:val="20"/>
          <w:szCs w:val="20"/>
        </w:rPr>
        <w:t xml:space="preserve">EIA – Anexo </w:t>
      </w:r>
      <w:proofErr w:type="gramStart"/>
      <w:r w:rsidRPr="004C72D2">
        <w:rPr>
          <w:rFonts w:cs="Arial"/>
          <w:b/>
          <w:color w:val="auto"/>
          <w:sz w:val="20"/>
          <w:szCs w:val="20"/>
        </w:rPr>
        <w:t>6.1</w:t>
      </w:r>
      <w:r w:rsidRPr="004C72D2">
        <w:rPr>
          <w:b/>
          <w:color w:val="auto"/>
          <w:sz w:val="20"/>
          <w:szCs w:val="20"/>
        </w:rPr>
        <w:t>1</w:t>
      </w:r>
      <w:r w:rsidRPr="004C72D2">
        <w:rPr>
          <w:rFonts w:cs="Arial"/>
          <w:color w:val="auto"/>
          <w:sz w:val="20"/>
          <w:szCs w:val="20"/>
        </w:rPr>
        <w:t>)</w:t>
      </w:r>
      <w:proofErr w:type="gramEnd"/>
      <w:r w:rsidRPr="004C72D2">
        <w:rPr>
          <w:rFonts w:cs="Arial"/>
          <w:color w:val="auto"/>
          <w:sz w:val="20"/>
          <w:szCs w:val="20"/>
        </w:rPr>
        <w:t>;</w:t>
      </w:r>
    </w:p>
    <w:p w:rsidR="00DB04B9" w:rsidRPr="004C72D2" w:rsidRDefault="00DB04B9" w:rsidP="00DB04B9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Mapas de Caracterização do Meio Biótico (</w:t>
      </w:r>
      <w:r w:rsidRPr="004C72D2">
        <w:rPr>
          <w:rFonts w:cs="Arial"/>
          <w:b/>
          <w:color w:val="auto"/>
          <w:sz w:val="20"/>
          <w:szCs w:val="20"/>
        </w:rPr>
        <w:t>EIA – Anexo 6.1</w:t>
      </w:r>
      <w:r w:rsidR="00F44EC4" w:rsidRPr="004C72D2">
        <w:rPr>
          <w:rFonts w:cs="Arial"/>
          <w:b/>
          <w:color w:val="auto"/>
          <w:sz w:val="20"/>
          <w:szCs w:val="20"/>
        </w:rPr>
        <w:t>2</w:t>
      </w:r>
      <w:r w:rsidRPr="004C72D2">
        <w:rPr>
          <w:rFonts w:cs="Arial"/>
          <w:color w:val="auto"/>
          <w:sz w:val="20"/>
          <w:szCs w:val="20"/>
        </w:rPr>
        <w:t>);</w:t>
      </w:r>
    </w:p>
    <w:p w:rsidR="006E7D80" w:rsidRPr="004C72D2" w:rsidRDefault="006E7D80" w:rsidP="006E7D80">
      <w:pPr>
        <w:pStyle w:val="PargrafodaLista"/>
        <w:numPr>
          <w:ilvl w:val="0"/>
          <w:numId w:val="1"/>
        </w:numPr>
        <w:spacing w:line="360" w:lineRule="auto"/>
        <w:jc w:val="both"/>
        <w:rPr>
          <w:color w:val="auto"/>
          <w:sz w:val="20"/>
          <w:szCs w:val="20"/>
        </w:rPr>
      </w:pPr>
      <w:r w:rsidRPr="004C72D2">
        <w:rPr>
          <w:rFonts w:cs="Arial"/>
          <w:color w:val="auto"/>
          <w:sz w:val="20"/>
          <w:szCs w:val="20"/>
        </w:rPr>
        <w:t>Mapas de Pontos Notáveis do Meio Biótico (</w:t>
      </w:r>
      <w:r w:rsidRPr="004C72D2">
        <w:rPr>
          <w:rFonts w:cs="Arial"/>
          <w:b/>
          <w:color w:val="auto"/>
          <w:sz w:val="20"/>
          <w:szCs w:val="20"/>
        </w:rPr>
        <w:t>EIA – Anexo 6.1</w:t>
      </w:r>
      <w:r w:rsidR="00F44EC4" w:rsidRPr="004C72D2">
        <w:rPr>
          <w:rFonts w:cs="Arial"/>
          <w:b/>
          <w:color w:val="auto"/>
          <w:sz w:val="20"/>
          <w:szCs w:val="20"/>
        </w:rPr>
        <w:t>3</w:t>
      </w:r>
      <w:r w:rsidRPr="004C72D2">
        <w:rPr>
          <w:rFonts w:cs="Arial"/>
          <w:color w:val="auto"/>
          <w:sz w:val="20"/>
          <w:szCs w:val="20"/>
        </w:rPr>
        <w:t>)</w:t>
      </w:r>
      <w:r w:rsidR="00FD771F" w:rsidRPr="004C72D2">
        <w:rPr>
          <w:rFonts w:cs="Arial"/>
          <w:color w:val="auto"/>
          <w:sz w:val="20"/>
          <w:szCs w:val="20"/>
        </w:rPr>
        <w:t>.</w:t>
      </w:r>
    </w:p>
    <w:p w:rsidR="00FD771F" w:rsidRPr="00E121DF" w:rsidRDefault="00FD771F" w:rsidP="00FD771F">
      <w:pPr>
        <w:pStyle w:val="PargrafodaLista"/>
        <w:spacing w:line="360" w:lineRule="auto"/>
        <w:jc w:val="both"/>
        <w:rPr>
          <w:color w:val="auto"/>
          <w:sz w:val="10"/>
          <w:szCs w:val="10"/>
        </w:rPr>
      </w:pPr>
    </w:p>
    <w:p w:rsidR="0096406F" w:rsidRDefault="0096406F" w:rsidP="00DB04B9">
      <w:pPr>
        <w:spacing w:line="360" w:lineRule="auto"/>
        <w:ind w:left="360"/>
        <w:jc w:val="both"/>
        <w:rPr>
          <w:rFonts w:cs="Arial"/>
          <w:b/>
          <w:color w:val="auto"/>
          <w:sz w:val="20"/>
          <w:szCs w:val="20"/>
        </w:rPr>
      </w:pPr>
      <w:r w:rsidRPr="0096406F">
        <w:rPr>
          <w:rFonts w:cs="Arial"/>
          <w:b/>
          <w:color w:val="auto"/>
          <w:sz w:val="20"/>
          <w:szCs w:val="20"/>
        </w:rPr>
        <w:t>ANEXOS</w:t>
      </w:r>
      <w:r>
        <w:rPr>
          <w:rFonts w:cs="Arial"/>
          <w:b/>
          <w:color w:val="auto"/>
          <w:sz w:val="20"/>
          <w:szCs w:val="20"/>
        </w:rPr>
        <w:t xml:space="preserve"> COMPLEMENTARES</w:t>
      </w:r>
    </w:p>
    <w:p w:rsidR="0096406F" w:rsidRPr="00E121DF" w:rsidRDefault="0096406F" w:rsidP="00DB04B9">
      <w:pPr>
        <w:spacing w:line="360" w:lineRule="auto"/>
        <w:ind w:left="360"/>
        <w:jc w:val="both"/>
        <w:rPr>
          <w:rFonts w:cs="Arial"/>
          <w:b/>
          <w:color w:val="auto"/>
          <w:sz w:val="10"/>
          <w:szCs w:val="10"/>
        </w:rPr>
      </w:pPr>
    </w:p>
    <w:p w:rsidR="0096406F" w:rsidRDefault="0096406F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Termo de Referência;</w:t>
      </w:r>
    </w:p>
    <w:p w:rsidR="0096406F" w:rsidRDefault="0096406F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Matrícula do Imóvel;</w:t>
      </w:r>
    </w:p>
    <w:p w:rsidR="0096406F" w:rsidRDefault="0096406F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Contrato de Arrendamento;</w:t>
      </w:r>
    </w:p>
    <w:p w:rsidR="00ED0A83" w:rsidRDefault="00ED0A83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Cópia da Licença Prévia;</w:t>
      </w:r>
    </w:p>
    <w:p w:rsidR="0096406F" w:rsidRDefault="0096406F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Parecer da Aeronáutica;</w:t>
      </w:r>
    </w:p>
    <w:p w:rsidR="00ED0A83" w:rsidRDefault="00ED0A83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Cadastro da Consultoria Ambiental;</w:t>
      </w:r>
    </w:p>
    <w:p w:rsidR="0096406F" w:rsidRDefault="0096406F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Cadastro dos Técnicos;</w:t>
      </w:r>
    </w:p>
    <w:p w:rsidR="00ED0A83" w:rsidRDefault="00ED0A83" w:rsidP="0096406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Anotação de Responsabilidade Técnica – ART do responsável técnico da Empresa de Consultoria ambiental;</w:t>
      </w:r>
    </w:p>
    <w:p w:rsidR="0096406F" w:rsidRPr="00E121DF" w:rsidRDefault="00ED0A83" w:rsidP="00E121DF">
      <w:pPr>
        <w:pStyle w:val="PargrafodaLista"/>
        <w:numPr>
          <w:ilvl w:val="0"/>
          <w:numId w:val="3"/>
        </w:numPr>
        <w:spacing w:line="360" w:lineRule="auto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color w:val="auto"/>
          <w:sz w:val="20"/>
          <w:szCs w:val="20"/>
        </w:rPr>
        <w:t>Anotação de Responsabilidade Técnica – ART do responsável técnico da Empresa que desenvolveu o projeto elétrico da CGE.</w:t>
      </w:r>
    </w:p>
    <w:sectPr w:rsidR="0096406F" w:rsidRPr="00E121DF" w:rsidSect="00C514D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4EF" w:rsidRDefault="009704EF" w:rsidP="00E121DF">
      <w:r>
        <w:separator/>
      </w:r>
    </w:p>
  </w:endnote>
  <w:endnote w:type="continuationSeparator" w:id="0">
    <w:p w:rsidR="009704EF" w:rsidRDefault="009704EF" w:rsidP="00E12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1DF" w:rsidRDefault="00E121DF" w:rsidP="00E121DF">
    <w:pPr>
      <w:pStyle w:val="Rodap"/>
      <w:tabs>
        <w:tab w:val="left" w:pos="5526"/>
      </w:tabs>
      <w:ind w:right="360"/>
      <w:rPr>
        <w:b/>
        <w:noProof/>
        <w:color w:val="008000"/>
        <w:sz w:val="16"/>
        <w:szCs w:val="16"/>
      </w:rPr>
    </w:pPr>
  </w:p>
  <w:p w:rsidR="00E121DF" w:rsidRPr="007178E5" w:rsidRDefault="00E121DF" w:rsidP="00E121DF">
    <w:pPr>
      <w:pStyle w:val="Rodap"/>
      <w:rPr>
        <w:rFonts w:cs="Arial"/>
        <w:b/>
        <w:color w:val="008000"/>
        <w:sz w:val="16"/>
        <w:szCs w:val="16"/>
      </w:rPr>
    </w:pPr>
  </w:p>
  <w:p w:rsidR="00E121DF" w:rsidRPr="003C5B04" w:rsidRDefault="009410B3" w:rsidP="00E121DF">
    <w:pPr>
      <w:pStyle w:val="Rodap"/>
      <w:rPr>
        <w:rFonts w:cs="Arial"/>
        <w:b/>
        <w:color w:val="008000"/>
        <w:sz w:val="16"/>
        <w:szCs w:val="16"/>
      </w:rPr>
    </w:pPr>
    <w:r w:rsidRPr="009410B3">
      <w:rPr>
        <w:b/>
        <w:noProof/>
        <w:color w:val="008000"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6pt;margin-top:1.05pt;width:500.25pt;height:0;z-index:251666432" o:connectortype="straight" strokecolor="#0070c0"/>
      </w:pict>
    </w:r>
    <w:r w:rsidR="002C1CF6">
      <w:rPr>
        <w:rFonts w:cs="Arial"/>
        <w:b/>
        <w:color w:val="008000"/>
        <w:sz w:val="16"/>
        <w:szCs w:val="16"/>
      </w:rPr>
      <w:t>RELATÓRIO DE IMPACTO AMBIENTAL - RIM</w:t>
    </w:r>
    <w:r w:rsidR="00E121DF" w:rsidRPr="003C5B04">
      <w:rPr>
        <w:rFonts w:cs="Arial"/>
        <w:b/>
        <w:color w:val="008000"/>
        <w:sz w:val="16"/>
        <w:szCs w:val="16"/>
      </w:rPr>
      <w:t xml:space="preserve">A </w:t>
    </w:r>
  </w:p>
  <w:p w:rsidR="00E121DF" w:rsidRDefault="00E121DF" w:rsidP="00E121DF">
    <w:pPr>
      <w:pStyle w:val="Rodap"/>
      <w:rPr>
        <w:rFonts w:cs="Arial"/>
        <w:b/>
        <w:color w:val="008000"/>
        <w:sz w:val="16"/>
        <w:szCs w:val="16"/>
      </w:rPr>
    </w:pPr>
  </w:p>
  <w:p w:rsidR="00E121DF" w:rsidRDefault="00E121D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4EF" w:rsidRDefault="009704EF" w:rsidP="00E121DF">
      <w:r>
        <w:separator/>
      </w:r>
    </w:p>
  </w:footnote>
  <w:footnote w:type="continuationSeparator" w:id="0">
    <w:p w:rsidR="009704EF" w:rsidRDefault="009704EF" w:rsidP="00E12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1DF" w:rsidRDefault="009410B3" w:rsidP="00E121DF">
    <w:pPr>
      <w:pStyle w:val="Rodap"/>
      <w:tabs>
        <w:tab w:val="right" w:pos="10080"/>
      </w:tabs>
      <w:ind w:right="-383"/>
      <w:jc w:val="right"/>
    </w:pPr>
    <w:r w:rsidRPr="009410B3">
      <w:rPr>
        <w:b/>
        <w:bCs/>
        <w:i/>
        <w:iCs/>
        <w:noProof/>
        <w:color w:val="76923C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0pt;margin-top:-23.1pt;width:144.35pt;height:70.5pt;z-index:251663360;mso-wrap-style:none" filled="f" stroked="f" strokecolor="olive">
          <v:textbox style="mso-next-textbox:#_x0000_s2052;mso-fit-shape-to-text:t">
            <w:txbxContent>
              <w:p w:rsidR="00E121DF" w:rsidRDefault="009410B3" w:rsidP="00E121DF">
                <w:r>
                  <w:pict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_x0000_i1026" type="#_x0000_t136" style="width:103.8pt;height:26.8pt" adj=",10800" fillcolor="#063" strokecolor="green">
                      <v:fill r:id="rId1" o:title="Saco de papel" type="tile"/>
                      <v:shadow on="t" type="perspective" color="#c7dfd3" opacity="52429f" origin="-.5,-.5" offset="-26pt,-36pt" matrix="1.25,,,1.25"/>
                      <v:textpath style="font-family:&quot;Times New Roman&quot;;font-size:20pt;v-text-kern:t" trim="t" fitpath="t" string="RESAN"/>
                    </v:shape>
                  </w:pict>
                </w:r>
              </w:p>
            </w:txbxContent>
          </v:textbox>
        </v:shape>
      </w:pict>
    </w:r>
    <w:r w:rsidRPr="009410B3">
      <w:rPr>
        <w:b/>
        <w:bCs/>
        <w:i/>
        <w:iCs/>
        <w:noProof/>
        <w:color w:val="76923C"/>
        <w:sz w:val="16"/>
        <w:szCs w:val="16"/>
      </w:rPr>
      <w:pict>
        <v:shape id="_x0000_s2053" type="#_x0000_t202" style="position:absolute;left:0;text-align:left;margin-left:258pt;margin-top:20.4pt;width:246pt;height:27pt;z-index:251664384" filled="f" stroked="f">
          <v:textbox style="mso-next-textbox:#_x0000_s2053">
            <w:txbxContent>
              <w:p w:rsidR="00E121DF" w:rsidRPr="00AA1EC4" w:rsidRDefault="00E121DF" w:rsidP="00E121DF">
                <w:pPr>
                  <w:pStyle w:val="Rodap"/>
                  <w:tabs>
                    <w:tab w:val="right" w:pos="10080"/>
                  </w:tabs>
                  <w:ind w:right="-383"/>
                  <w:jc w:val="center"/>
                  <w:rPr>
                    <w:color w:val="669900"/>
                    <w:sz w:val="16"/>
                    <w:szCs w:val="16"/>
                  </w:rPr>
                </w:pPr>
                <w:r>
                  <w:rPr>
                    <w:b/>
                    <w:color w:val="669900"/>
                    <w:sz w:val="16"/>
                    <w:szCs w:val="16"/>
                  </w:rPr>
                  <w:t>CGE Pau Brasil (15</w:t>
                </w:r>
                <w:r w:rsidRPr="00AA1EC4">
                  <w:rPr>
                    <w:b/>
                    <w:color w:val="669900"/>
                    <w:sz w:val="16"/>
                    <w:szCs w:val="16"/>
                  </w:rPr>
                  <w:t>MW)</w:t>
                </w:r>
              </w:p>
              <w:p w:rsidR="00E121DF" w:rsidRDefault="00E121DF" w:rsidP="00E121DF"/>
            </w:txbxContent>
          </v:textbox>
        </v:shape>
      </w:pict>
    </w:r>
    <w:r>
      <w:rPr>
        <w:noProof/>
      </w:rPr>
      <w:pict>
        <v:shape id="_x0000_s2051" type="#_x0000_t202" style="position:absolute;left:0;text-align:left;margin-left:30pt;margin-top:-51.6pt;width:486.85pt;height:1in;z-index:251662336" filled="f" stroked="f">
          <v:textbox style="mso-next-textbox:#_x0000_s2051">
            <w:txbxContent>
              <w:p w:rsidR="00E121DF" w:rsidRDefault="00E121DF" w:rsidP="00E121DF"/>
              <w:p w:rsidR="00E121DF" w:rsidRDefault="00E121DF" w:rsidP="00E121DF">
                <w:pPr>
                  <w:jc w:val="right"/>
                </w:pPr>
              </w:p>
            </w:txbxContent>
          </v:textbox>
        </v:shape>
      </w:pict>
    </w:r>
    <w:r>
      <w:rPr>
        <w:noProof/>
      </w:rPr>
      <w:pict>
        <v:rect id="_x0000_s2049" style="position:absolute;left:0;text-align:left;margin-left:-116.9pt;margin-top:-40.25pt;width:696.45pt;height:14pt;z-index:251660288" filled="f" fillcolor="#036" stroked="f"/>
      </w:pict>
    </w:r>
    <w:r>
      <w:rPr>
        <w:noProof/>
      </w:rPr>
      <w:pict>
        <v:oval id="_x0000_s2050" style="position:absolute;left:0;text-align:left;margin-left:-63pt;margin-top:-49.4pt;width:81pt;height:81pt;z-index:251661312" stroked="f"/>
      </w:pict>
    </w:r>
    <w:r w:rsidR="00E121DF">
      <w:tab/>
      <w:t xml:space="preserve">                                                                                       </w:t>
    </w:r>
  </w:p>
  <w:p w:rsidR="00E121DF" w:rsidRDefault="00E121DF" w:rsidP="00E121DF">
    <w:pPr>
      <w:pStyle w:val="Rodap"/>
      <w:tabs>
        <w:tab w:val="right" w:pos="10080"/>
      </w:tabs>
      <w:ind w:right="-383"/>
      <w:jc w:val="right"/>
    </w:pPr>
  </w:p>
  <w:p w:rsidR="00E121DF" w:rsidRDefault="00E121DF" w:rsidP="00E121DF">
    <w:pPr>
      <w:pStyle w:val="Rodap"/>
      <w:tabs>
        <w:tab w:val="right" w:pos="10080"/>
      </w:tabs>
      <w:ind w:right="-383"/>
      <w:jc w:val="right"/>
    </w:pPr>
    <w:r>
      <w:tab/>
    </w:r>
  </w:p>
  <w:p w:rsidR="00E121DF" w:rsidRDefault="00E121DF" w:rsidP="00E121DF">
    <w:pPr>
      <w:pStyle w:val="Rodap"/>
      <w:tabs>
        <w:tab w:val="right" w:pos="10080"/>
      </w:tabs>
      <w:ind w:right="-383"/>
      <w:jc w:val="right"/>
    </w:pPr>
  </w:p>
  <w:p w:rsidR="00E121DF" w:rsidRDefault="00E121DF" w:rsidP="00E121DF">
    <w:pPr>
      <w:pStyle w:val="Rodap"/>
      <w:tabs>
        <w:tab w:val="right" w:pos="10080"/>
      </w:tabs>
      <w:ind w:right="-383"/>
      <w:rPr>
        <w:b/>
        <w:color w:val="008000"/>
        <w:sz w:val="16"/>
        <w:szCs w:val="16"/>
      </w:rPr>
    </w:pPr>
    <w:r>
      <w:rPr>
        <w:rStyle w:val="nfaseIntensa"/>
        <w:color w:val="76923C"/>
        <w:sz w:val="16"/>
        <w:szCs w:val="16"/>
      </w:rPr>
      <w:t xml:space="preserve">         </w:t>
    </w:r>
    <w:r w:rsidRPr="00AA1EC4">
      <w:rPr>
        <w:rStyle w:val="nfaseIntensa"/>
        <w:color w:val="76923C"/>
        <w:sz w:val="16"/>
        <w:szCs w:val="16"/>
      </w:rPr>
      <w:t>PROJETOS, CONSTRUÇÕES &amp; CONSULTORIA LTDA</w:t>
    </w:r>
    <w:r>
      <w:rPr>
        <w:rStyle w:val="nfaseIntensa"/>
        <w:color w:val="76923C"/>
        <w:sz w:val="16"/>
        <w:szCs w:val="16"/>
      </w:rPr>
      <w:t xml:space="preserve">              </w:t>
    </w:r>
    <w:r w:rsidRPr="00AA1EC4">
      <w:rPr>
        <w:b/>
        <w:color w:val="008000"/>
        <w:sz w:val="16"/>
        <w:szCs w:val="16"/>
      </w:rPr>
      <w:t xml:space="preserve"> </w:t>
    </w:r>
  </w:p>
  <w:p w:rsidR="00E121DF" w:rsidRDefault="00E121D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5084"/>
    <w:multiLevelType w:val="hybridMultilevel"/>
    <w:tmpl w:val="21D8A272"/>
    <w:lvl w:ilvl="0" w:tplc="73ECC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91C68"/>
    <w:multiLevelType w:val="hybridMultilevel"/>
    <w:tmpl w:val="D2245318"/>
    <w:lvl w:ilvl="0" w:tplc="73ECCA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5977B4"/>
    <w:multiLevelType w:val="hybridMultilevel"/>
    <w:tmpl w:val="AE0202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  <o:rules v:ext="edit">
        <o:r id="V:Rule2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313FD"/>
    <w:rsid w:val="00124256"/>
    <w:rsid w:val="001B152F"/>
    <w:rsid w:val="002C1CF6"/>
    <w:rsid w:val="0035133E"/>
    <w:rsid w:val="004B4ED2"/>
    <w:rsid w:val="004C72D2"/>
    <w:rsid w:val="004D2CCA"/>
    <w:rsid w:val="006E7D80"/>
    <w:rsid w:val="00745E3C"/>
    <w:rsid w:val="00777E6C"/>
    <w:rsid w:val="007D5FE1"/>
    <w:rsid w:val="00813F4B"/>
    <w:rsid w:val="008E281D"/>
    <w:rsid w:val="009410B3"/>
    <w:rsid w:val="0096406F"/>
    <w:rsid w:val="009704EF"/>
    <w:rsid w:val="00A226F1"/>
    <w:rsid w:val="00AE0631"/>
    <w:rsid w:val="00AE1EED"/>
    <w:rsid w:val="00C514D3"/>
    <w:rsid w:val="00D313FD"/>
    <w:rsid w:val="00DB04B9"/>
    <w:rsid w:val="00E121DF"/>
    <w:rsid w:val="00E3728E"/>
    <w:rsid w:val="00EC2E73"/>
    <w:rsid w:val="00ED0A83"/>
    <w:rsid w:val="00F44EC4"/>
    <w:rsid w:val="00FD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3FD"/>
    <w:pPr>
      <w:spacing w:after="0" w:line="240" w:lineRule="auto"/>
    </w:pPr>
    <w:rPr>
      <w:rFonts w:ascii="Verdana" w:eastAsia="Times New Roman" w:hAnsi="Verdana" w:cs="Times New Roman"/>
      <w:color w:val="003572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313FD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121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121DF"/>
    <w:rPr>
      <w:rFonts w:ascii="Verdana" w:eastAsia="Times New Roman" w:hAnsi="Verdana" w:cs="Times New Roman"/>
      <w:color w:val="003572"/>
      <w:sz w:val="24"/>
      <w:szCs w:val="24"/>
      <w:lang w:eastAsia="pt-BR"/>
    </w:rPr>
  </w:style>
  <w:style w:type="paragraph" w:styleId="Rodap">
    <w:name w:val="footer"/>
    <w:aliases w:val="Rodapé Char Char Char Char Char Char Char Char Char"/>
    <w:basedOn w:val="Normal"/>
    <w:link w:val="RodapChar"/>
    <w:uiPriority w:val="99"/>
    <w:unhideWhenUsed/>
    <w:rsid w:val="00E121DF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Rodapé Char Char Char Char Char Char Char Char Char Char"/>
    <w:basedOn w:val="Fontepargpadro"/>
    <w:link w:val="Rodap"/>
    <w:uiPriority w:val="99"/>
    <w:rsid w:val="00E121DF"/>
    <w:rPr>
      <w:rFonts w:ascii="Verdana" w:eastAsia="Times New Roman" w:hAnsi="Verdana" w:cs="Times New Roman"/>
      <w:color w:val="003572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121D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21DF"/>
    <w:rPr>
      <w:rFonts w:ascii="Tahoma" w:eastAsia="Times New Roman" w:hAnsi="Tahoma" w:cs="Tahoma"/>
      <w:color w:val="003572"/>
      <w:sz w:val="16"/>
      <w:szCs w:val="16"/>
      <w:lang w:eastAsia="pt-BR"/>
    </w:rPr>
  </w:style>
  <w:style w:type="character" w:styleId="nfaseIntensa">
    <w:name w:val="Intense Emphasis"/>
    <w:basedOn w:val="Fontepargpadro"/>
    <w:qFormat/>
    <w:rsid w:val="00E121DF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Eduardo</dc:creator>
  <cp:keywords/>
  <dc:description/>
  <cp:lastModifiedBy>Flavio Eduardo</cp:lastModifiedBy>
  <cp:revision>14</cp:revision>
  <dcterms:created xsi:type="dcterms:W3CDTF">2011-04-10T20:21:00Z</dcterms:created>
  <dcterms:modified xsi:type="dcterms:W3CDTF">2011-06-01T21:59:00Z</dcterms:modified>
</cp:coreProperties>
</file>